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6"/>
          <w:szCs w:val="36"/>
        </w:rPr>
      </w:pPr>
      <w:r w:rsidDel="00000000" w:rsidR="00000000" w:rsidRPr="00000000">
        <w:rPr>
          <w:b w:val="1"/>
          <w:sz w:val="36"/>
          <w:szCs w:val="36"/>
          <w:rtl w:val="0"/>
        </w:rPr>
        <w:t xml:space="preserve">¿Cuándo y cómo ‘congelar’ al tipo de cambio </w:t>
      </w:r>
    </w:p>
    <w:p w:rsidR="00000000" w:rsidDel="00000000" w:rsidP="00000000" w:rsidRDefault="00000000" w:rsidRPr="00000000" w14:paraId="00000002">
      <w:pPr>
        <w:jc w:val="both"/>
        <w:rPr>
          <w:b w:val="1"/>
          <w:sz w:val="36"/>
          <w:szCs w:val="36"/>
        </w:rPr>
      </w:pPr>
      <w:r w:rsidDel="00000000" w:rsidR="00000000" w:rsidRPr="00000000">
        <w:rPr>
          <w:b w:val="1"/>
          <w:sz w:val="36"/>
          <w:szCs w:val="36"/>
          <w:rtl w:val="0"/>
        </w:rPr>
        <w:t xml:space="preserve">en el contexto de incertidumbre actual?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11 de julio 2022.-</w:t>
      </w:r>
      <w:r w:rsidDel="00000000" w:rsidR="00000000" w:rsidRPr="00000000">
        <w:rPr>
          <w:rtl w:val="0"/>
        </w:rPr>
        <w:t xml:space="preserve"> El entorno económico e inflacionario por el que atraviesan Estados Unidos y México, ha orillado a los bancos centrales a tomar decisiones monetarias cuyo impacto ha sido importante en el tipo de cambio.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Frente a ese escenario, las empresas que realizan exportaciones en el país enfrentan un enorme desafío financiero ya que sus operaciones transfronterizas se realizan principalmente en dólares.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Mitigar el impacto negativo para estas empresas derivado de las fluctuaciones del tipo de cambio se vuelve muy importante considerando que las exportaciones crecen año con año y generan un aporte importante a la economía del país. El </w:t>
      </w:r>
      <w:hyperlink r:id="rId6">
        <w:r w:rsidDel="00000000" w:rsidR="00000000" w:rsidRPr="00000000">
          <w:rPr>
            <w:color w:val="1155cc"/>
            <w:u w:val="single"/>
            <w:rtl w:val="0"/>
          </w:rPr>
          <w:t xml:space="preserve">Inegi</w:t>
        </w:r>
      </w:hyperlink>
      <w:r w:rsidDel="00000000" w:rsidR="00000000" w:rsidRPr="00000000">
        <w:rPr>
          <w:rtl w:val="0"/>
        </w:rPr>
        <w:t xml:space="preserve"> indica que en 2021 las ventas al extranjero crecieron 27.8%.</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Dicho lo anterior, las exportadoras deben estar atentas al tipo de cambio y la volatilidad de la relación peso-dólar, además de tener a la mano un instrumento financiero que les permita protegerse ante movimientos abruptos en la divisa estadounidense.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sz w:val="28"/>
          <w:szCs w:val="28"/>
          <w:u w:val="none"/>
        </w:rPr>
      </w:pPr>
      <w:r w:rsidDel="00000000" w:rsidR="00000000" w:rsidRPr="00000000">
        <w:rPr>
          <w:sz w:val="28"/>
          <w:szCs w:val="28"/>
          <w:rtl w:val="0"/>
        </w:rPr>
        <w:t xml:space="preserve">¿Cómo se ven afectadas las exportadoras si el dólar sube?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especialistas del </w:t>
      </w:r>
      <w:hyperlink r:id="rId7">
        <w:r w:rsidDel="00000000" w:rsidR="00000000" w:rsidRPr="00000000">
          <w:rPr>
            <w:color w:val="1155cc"/>
            <w:u w:val="single"/>
            <w:rtl w:val="0"/>
          </w:rPr>
          <w:t xml:space="preserve">Banco de México</w:t>
        </w:r>
      </w:hyperlink>
      <w:r w:rsidDel="00000000" w:rsidR="00000000" w:rsidRPr="00000000">
        <w:rPr>
          <w:rtl w:val="0"/>
        </w:rPr>
        <w:t xml:space="preserve"> prevén que el dólar continúe con una tendencia alcista y siga apreciándose frente al peso hacia el cierre de 2022: las estimaciones indican que la expectativa media que se tiene en julio de $20.22 pesos por dólar, alcance hasta los $21.61 como valor máximo en diciembre.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Ese continuo incremento del valor del dólar impactará en los costos de exportación de las empresas, es decir todas las erogaciones de dinero implicadas para trasladar una mercancía de un país a otro que se ven impactadas por factores como el estado actual del mercado cambiario. Dentro de las principales, figuran los pagos de servicios de transporte, empaque y embalaje, e impuestos.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este caso, las empresas deben contar con una cobertura cambiaria que, ante el panorama de apreciación constante del dólar, les permita ‘congelar’ el tipo de cambio y realizar operaciones en un nivel estipulado dentro de una fecha determinada, para así evitar que esos costos operacionales de exportación se vean impactos y se incrementen, generando una disminución en las ganancias.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z w:val="28"/>
          <w:szCs w:val="28"/>
          <w:u w:val="none"/>
        </w:rPr>
      </w:pPr>
      <w:r w:rsidDel="00000000" w:rsidR="00000000" w:rsidRPr="00000000">
        <w:rPr>
          <w:sz w:val="28"/>
          <w:szCs w:val="28"/>
          <w:rtl w:val="0"/>
        </w:rPr>
        <w:t xml:space="preserve">¿Qué pasa si el peso se recupera?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Aunque la tendencia es al alza, no hay certidumbre alguna cuando hablamos del tipo de cambio. Y sí, en cualquier momento puede presentarse un movimiento abrupto de apreciación del peso, que pese a no tener movimientos significativos frente a la moneda norteamericana ha sido resistente al fortalecimiento del dólar en las últimas semanas.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ese caso, la cobertura cambiaria es fundamental al momento de concretar un contrato. Por ejemplo, cuando una empresa cierra la venta de un lote de productos en dólares, evita el riesgo de que el valor de esa venta disminuya en caso de que el dólar tenga una ligera depreciación frente a la moneda nacional.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Por ejemplo, como sucedió el pasado 22 de junio, cuando el peso registró su mayor apreciación desde el 9 de marzo, ganando 1.07 por ciento al quedar en 20.2727 unidades por dólar, según</w:t>
      </w:r>
      <w:hyperlink r:id="rId8">
        <w:r w:rsidDel="00000000" w:rsidR="00000000" w:rsidRPr="00000000">
          <w:rPr>
            <w:color w:val="1155cc"/>
            <w:u w:val="single"/>
            <w:rtl w:val="0"/>
          </w:rPr>
          <w:t xml:space="preserve"> Banxico.</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Las coberturas cambiarias, en ambos casos, son una protección al tipo de cambio que permite planificar el flujo de caja durante un periodo determinado para las exportaciones, de manera que el empresario se enfoque en el negocio y deje de preocuparse por factores externos que puedan afectar a la moneda.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Hoy en día, y ante un panorama de incertidumbre cambiaria, las coberturas brindan un nivel de certeza que no se conseguiría de ninguna otra forma para continuar operando con una medida de prevención y protección a las finanzas.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o-0-o</w:t>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spacing w:line="240" w:lineRule="auto"/>
        <w:rPr>
          <w:b w:val="1"/>
          <w:sz w:val="18"/>
          <w:szCs w:val="18"/>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4">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5">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6">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7">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0">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1">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9">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2">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A">
      <w:pPr>
        <w:jc w:val="both"/>
        <w:rPr/>
      </w:pPr>
      <w:hyperlink r:id="rId13">
        <w:r w:rsidDel="00000000" w:rsidR="00000000" w:rsidRPr="00000000">
          <w:rPr>
            <w:color w:val="1155cc"/>
            <w:sz w:val="18"/>
            <w:szCs w:val="18"/>
            <w:u w:val="single"/>
          </w:rPr>
          <w:drawing>
            <wp:inline distB="114300" distT="114300" distL="114300" distR="114300">
              <wp:extent cx="381000" cy="381000"/>
              <wp:effectExtent b="0" l="0" r="0" t="0"/>
              <wp:docPr descr="linkedin" id="4" name="image4.png"/>
              <a:graphic>
                <a:graphicData uri="http://schemas.openxmlformats.org/drawingml/2006/picture">
                  <pic:pic>
                    <pic:nvPicPr>
                      <pic:cNvPr descr="linkedin" id="0" name="image4.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hyperlink r:id="rId15">
        <w:r w:rsidDel="00000000" w:rsidR="00000000" w:rsidRPr="00000000">
          <w:rPr>
            <w:color w:val="1155cc"/>
            <w:sz w:val="18"/>
            <w:szCs w:val="18"/>
            <w:u w:val="single"/>
          </w:rPr>
          <w:drawing>
            <wp:inline distB="114300" distT="114300" distL="114300" distR="114300">
              <wp:extent cx="381000" cy="381000"/>
              <wp:effectExtent b="0" l="0" r="0" t="0"/>
              <wp:docPr descr="twitter" id="2" name="image1.png"/>
              <a:graphic>
                <a:graphicData uri="http://schemas.openxmlformats.org/drawingml/2006/picture">
                  <pic:pic>
                    <pic:nvPicPr>
                      <pic:cNvPr descr="twitter" id="0" name="image1.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7">
        <w:r w:rsidDel="00000000" w:rsidR="00000000" w:rsidRPr="00000000">
          <w:rPr>
            <w:color w:val="1155cc"/>
            <w:sz w:val="18"/>
            <w:szCs w:val="18"/>
            <w:u w:val="single"/>
          </w:rPr>
          <w:drawing>
            <wp:inline distB="114300" distT="114300" distL="114300" distR="114300">
              <wp:extent cx="381000" cy="381000"/>
              <wp:effectExtent b="0" l="0" r="0" t="0"/>
              <wp:docPr descr="facebook" id="1" name="image3.png"/>
              <a:graphic>
                <a:graphicData uri="http://schemas.openxmlformats.org/drawingml/2006/picture">
                  <pic:pic>
                    <pic:nvPicPr>
                      <pic:cNvPr descr="facebook" id="0" name="image3.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1692275" cy="9763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2275"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ndi.io/divisas/forex" TargetMode="External"/><Relationship Id="rId10" Type="http://schemas.openxmlformats.org/officeDocument/2006/relationships/hyperlink" Target="https://mundi.io/" TargetMode="External"/><Relationship Id="rId13" Type="http://schemas.openxmlformats.org/officeDocument/2006/relationships/hyperlink" Target="https://www.linkedin.com/company/munditrade/" TargetMode="External"/><Relationship Id="rId12" Type="http://schemas.openxmlformats.org/officeDocument/2006/relationships/hyperlink" Target="https://mundi.notion.site/Press-Kit-1df77c182d45437eac61f0d46b89e5a9#c84391c5912f468889c8baf60d53acc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 TargetMode="External"/><Relationship Id="rId15" Type="http://schemas.openxmlformats.org/officeDocument/2006/relationships/hyperlink" Target="https://twitter.com/munditrade" TargetMode="External"/><Relationship Id="rId14" Type="http://schemas.openxmlformats.org/officeDocument/2006/relationships/image" Target="media/image4.png"/><Relationship Id="rId17" Type="http://schemas.openxmlformats.org/officeDocument/2006/relationships/hyperlink" Target="https://www.facebook.com/MundiTra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inegi.org.mx/temas/balanza/" TargetMode="External"/><Relationship Id="rId18" Type="http://schemas.openxmlformats.org/officeDocument/2006/relationships/image" Target="media/image3.png"/><Relationship Id="rId7" Type="http://schemas.openxmlformats.org/officeDocument/2006/relationships/hyperlink" Target="https://www.banxico.org.mx/SieInternet/consultarDirectorioInternetAction.do?sector=24&amp;accion=consultarCuadroAnalitico&amp;idCuadro=CA242&amp;locale=es" TargetMode="External"/><Relationship Id="rId8" Type="http://schemas.openxmlformats.org/officeDocument/2006/relationships/hyperlink" Target="https://www.banxico.org.mx/tipcamb/main.do?page=tip&amp;idiom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